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6606" w:rsidRPr="008B6606" w:rsidRDefault="008B6606" w:rsidP="008B6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06">
        <w:rPr>
          <w:rFonts w:ascii="Candara" w:eastAsia="Times New Roman" w:hAnsi="Candara" w:cs="Times New Roman"/>
          <w:b/>
          <w:bCs/>
          <w:color w:val="FF0000"/>
          <w:sz w:val="24"/>
          <w:szCs w:val="24"/>
          <w:lang w:eastAsia="ru-RU"/>
        </w:rPr>
        <w:t>Компоненты образовательных областей по ФГОС дошкольного образования</w:t>
      </w:r>
    </w:p>
    <w:p w:rsidR="008B6606" w:rsidRPr="008B6606" w:rsidRDefault="008B6606" w:rsidP="008B660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П. 2.7 ФГОС </w:t>
      </w:r>
      <w:proofErr w:type="gramStart"/>
      <w:r w:rsidRPr="008B6606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8B6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</w:t>
      </w:r>
      <w:proofErr w:type="gramStart"/>
      <w:r w:rsidRPr="008B660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конкретное</w:t>
      </w:r>
      <w:proofErr w:type="gramEnd"/>
      <w:r w:rsidRPr="008B66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содержание указанных образовательных областей зависит от возрастных и индивидуальных особенностей детей; определяется целями и задачами Программы; реализуется в различных видах деятельности.</w:t>
      </w:r>
    </w:p>
    <w:tbl>
      <w:tblPr>
        <w:tblW w:w="5000" w:type="pct"/>
        <w:tblCellSpacing w:w="22" w:type="dxa"/>
        <w:tblBorders>
          <w:top w:val="outset" w:sz="6" w:space="0" w:color="BFBFBF"/>
          <w:left w:val="outset" w:sz="6" w:space="0" w:color="BFBFBF"/>
          <w:bottom w:val="outset" w:sz="6" w:space="0" w:color="BFBFBF"/>
          <w:right w:val="outset" w:sz="6" w:space="0" w:color="BFBFBF"/>
        </w:tblBorders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2606"/>
        <w:gridCol w:w="6957"/>
      </w:tblGrid>
      <w:tr w:rsidR="008B6606" w:rsidRPr="008B6606" w:rsidTr="008B6606">
        <w:trPr>
          <w:tblCellSpacing w:w="22" w:type="dxa"/>
        </w:trPr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60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606">
              <w:rPr>
                <w:rFonts w:ascii="Times New Roman" w:eastAsia="Times New Roman" w:hAnsi="Times New Roman" w:cs="Times New Roman"/>
                <w:b/>
                <w:bCs/>
                <w:color w:val="0000FF"/>
                <w:sz w:val="24"/>
                <w:szCs w:val="24"/>
                <w:lang w:eastAsia="ru-RU"/>
              </w:rPr>
              <w:t>Компоненты образовательных областей</w:t>
            </w:r>
          </w:p>
        </w:tc>
      </w:tr>
      <w:tr w:rsidR="008B6606" w:rsidRPr="008B6606" w:rsidTr="008B6606">
        <w:trPr>
          <w:tblCellSpacing w:w="22" w:type="dxa"/>
        </w:trPr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" w:history="1">
              <w:r w:rsidRPr="008B66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Социально-коммуникативное развитие</w:t>
              </w:r>
            </w:hyperlink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(ссылка)</w:t>
            </w:r>
          </w:p>
        </w:tc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Социально-коммуникативное развитие направлено на усвоение норм и ценностей, принятых в обществе, включая моральные и нравственные ценности; развитие общения и взаимодействия ребенка </w:t>
            </w:r>
            <w:proofErr w:type="gramStart"/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</w:t>
            </w:r>
            <w:proofErr w:type="gramEnd"/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взрослыми и сверстниками; становление самостоятельности, целенаправленности и саморегуляции собственных действий; развитие социального и эмоционального интеллекта, эмоциональной отзывчивости, сопереживания, формирование готовности к совместной деятельности со сверстниками, формирование уважительного отношения и чувства принадлежности к своей семье и к сообществу детей и взрослых в Организации; формирование позитивных установок к различным видам труда и творчества; формирование основ безопасного поведения в быту, социуме, природе.         </w:t>
            </w:r>
          </w:p>
        </w:tc>
      </w:tr>
      <w:tr w:rsidR="008B6606" w:rsidRPr="008B6606" w:rsidTr="008B6606">
        <w:trPr>
          <w:tblCellSpacing w:w="22" w:type="dxa"/>
        </w:trPr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6" w:history="1">
              <w:r w:rsidRPr="008B66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Познавательное развитие</w:t>
              </w:r>
            </w:hyperlink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(ссылка)</w:t>
            </w:r>
          </w:p>
        </w:tc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Познавательное развитие предполагает развитие интересов детей, любознательности и познавательной мотивации; формирование познавательных действий, становление сознания; развитие воображения и творческой активности; </w:t>
            </w:r>
            <w:proofErr w:type="gramStart"/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покое, причинах и следствиях и др.), о малой родине и Отечестве, представлений о социокультурных ценностях нашего народа, об отечественных традициях и праздниках, о планете Земля как</w:t>
            </w:r>
            <w:proofErr w:type="gramEnd"/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общем</w:t>
            </w:r>
            <w:proofErr w:type="gramEnd"/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доме людей, об особенностях ее природы, многообразии стран и народов мира.</w:t>
            </w:r>
          </w:p>
        </w:tc>
        <w:bookmarkStart w:id="0" w:name="_GoBack"/>
        <w:bookmarkEnd w:id="0"/>
      </w:tr>
      <w:tr w:rsidR="008B6606" w:rsidRPr="008B6606" w:rsidTr="008B6606">
        <w:trPr>
          <w:tblCellSpacing w:w="22" w:type="dxa"/>
        </w:trPr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7" w:history="1">
              <w:r w:rsidRPr="008B66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Речевое развитие</w:t>
              </w:r>
            </w:hyperlink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(ссылка)</w:t>
            </w:r>
          </w:p>
        </w:tc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Речевое развитие включает владение речью как средством общения и культуры; обогащение активного словаря; развитие связной, грамматически правильной диалогической и монологической речи; развитие речевого творчества; развитие звуковой и интонационной культуры речи, фонематического слуха; знакомство с книжной культурой, детской литературой, понимание на слух текстов различных жанров детской литературы; формирование звуковой аналитико-синтетической активности как предпосылки обучения грамоте.      </w:t>
            </w:r>
            <w:proofErr w:type="gramEnd"/>
          </w:p>
        </w:tc>
      </w:tr>
      <w:tr w:rsidR="008B6606" w:rsidRPr="008B6606" w:rsidTr="008B6606">
        <w:trPr>
          <w:tblCellSpacing w:w="22" w:type="dxa"/>
        </w:trPr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8" w:history="1">
              <w:r w:rsidRPr="008B66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Художественно-эстетическое развитие</w:t>
              </w:r>
            </w:hyperlink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(ссылка)</w:t>
            </w:r>
          </w:p>
        </w:tc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Художественно-эстетическое развитие предполагает развитие предпосылок ценностно-смыслового восприятия и понимания произведений искусства (словесного, музыкального, изобразительного), мира природы; становление эстетического отношения к окружающему миру; формирование элементарных представлений о видах искусства; восприятие музыки, </w:t>
            </w:r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художественной литературы, фольклора; стимулирование сопереживания персонажам художественных произведений; реализацию самостоятельной творческой деятельности детей (изобразительной, конструктивно-модельной, музыкальной и др.).        </w:t>
            </w:r>
          </w:p>
        </w:tc>
      </w:tr>
      <w:tr w:rsidR="008B6606" w:rsidRPr="008B6606" w:rsidTr="008B6606">
        <w:trPr>
          <w:tblCellSpacing w:w="22" w:type="dxa"/>
        </w:trPr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9" w:history="1">
              <w:r w:rsidRPr="008B6606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Физическое развитие</w:t>
              </w:r>
            </w:hyperlink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(ссылка)</w:t>
            </w:r>
          </w:p>
        </w:tc>
        <w:tc>
          <w:tcPr>
            <w:tcW w:w="0" w:type="auto"/>
            <w:tcBorders>
              <w:top w:val="outset" w:sz="6" w:space="0" w:color="BFBFBF"/>
              <w:left w:val="outset" w:sz="6" w:space="0" w:color="BFBFBF"/>
              <w:bottom w:val="outset" w:sz="6" w:space="0" w:color="BFBFBF"/>
              <w:right w:val="outset" w:sz="6" w:space="0" w:color="BFBFBF"/>
            </w:tcBorders>
            <w:vAlign w:val="center"/>
            <w:hideMark/>
          </w:tcPr>
          <w:p w:rsidR="008B6606" w:rsidRPr="008B6606" w:rsidRDefault="008B6606" w:rsidP="008B66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Физическое развитие включает приобретение опыта в следующих видах деятельности детей: двигательной, в том числе связанной с выполнением упражнений, направленных на развитие таких физических качеств, как координация и гибкость; </w:t>
            </w:r>
            <w:proofErr w:type="gramStart"/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способствующих правильному формированию опорно-двигательной системы организма, развитию равновесия, координации движения, крупной и мелкой моторики обеих рук, а также с правильным, не наносящем ущерба организму, выполнением основных движений (ходьба, бег, мягкие прыжки, повороты в обе стороны), формирование начальных представлений о некоторых видах спорта, овладение подвижными играми с правилами; становление целенаправленности и саморегуляции в двигательной сфере;</w:t>
            </w:r>
            <w:proofErr w:type="gramEnd"/>
            <w:r w:rsidRPr="008B660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становление ценностей здорового образа жизни, овладение его элементарными нормами и правилами (в питании, двигательном режиме, закаливании, при формировании полезных привычек и др.). </w:t>
            </w:r>
          </w:p>
        </w:tc>
      </w:tr>
    </w:tbl>
    <w:p w:rsidR="008B6606" w:rsidRPr="008B6606" w:rsidRDefault="008B6606" w:rsidP="008B6606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B660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132CC" w:rsidRDefault="000132CC"/>
    <w:sectPr w:rsidR="000132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606"/>
    <w:rsid w:val="000132CC"/>
    <w:rsid w:val="008B66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1506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u125.ru/p612aa1.html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dou125.ru/p611aa1.html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dou125.ru/p610aa1.html" TargetMode="External"/><Relationship Id="rId11" Type="http://schemas.openxmlformats.org/officeDocument/2006/relationships/theme" Target="theme/theme1.xml"/><Relationship Id="rId5" Type="http://schemas.openxmlformats.org/officeDocument/2006/relationships/hyperlink" Target="http://dou125.ru/p609aa1.html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dou125.ru/p613aa1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624</Words>
  <Characters>3558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</dc:creator>
  <cp:lastModifiedBy>Мария</cp:lastModifiedBy>
  <cp:revision>1</cp:revision>
  <dcterms:created xsi:type="dcterms:W3CDTF">2016-09-07T06:03:00Z</dcterms:created>
  <dcterms:modified xsi:type="dcterms:W3CDTF">2016-09-07T06:04:00Z</dcterms:modified>
</cp:coreProperties>
</file>